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036"/>
        </w:tabs>
        <w:spacing w:after="200" w:before="200" w:lineRule="auto"/>
        <w:ind w:left="720" w:firstLine="0"/>
        <w:jc w:val="center"/>
        <w:rPr>
          <w:rFonts w:ascii="Titillium Web" w:cs="Titillium Web" w:eastAsia="Titillium Web" w:hAnsi="Titillium Web"/>
          <w:b w:val="1"/>
          <w:color w:val="292b3b"/>
          <w:sz w:val="32"/>
          <w:szCs w:val="32"/>
        </w:rPr>
      </w:pPr>
      <w:bookmarkStart w:colFirst="0" w:colLast="0" w:name="_heading=h.4jy7e334ae7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036"/>
        </w:tabs>
        <w:spacing w:after="200" w:before="200" w:lineRule="auto"/>
        <w:ind w:left="720" w:firstLine="0"/>
        <w:jc w:val="center"/>
        <w:rPr>
          <w:rFonts w:ascii="Titillium Web" w:cs="Titillium Web" w:eastAsia="Titillium Web" w:hAnsi="Titillium Web"/>
          <w:b w:val="1"/>
          <w:color w:val="292b3b"/>
          <w:sz w:val="32"/>
          <w:szCs w:val="32"/>
        </w:rPr>
      </w:pPr>
      <w:bookmarkStart w:colFirst="0" w:colLast="0" w:name="_heading=h.ph6xq2ejgmc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036"/>
        </w:tabs>
        <w:spacing w:after="200" w:before="200" w:lineRule="auto"/>
        <w:ind w:left="720" w:firstLine="0"/>
        <w:jc w:val="center"/>
        <w:rPr>
          <w:rFonts w:ascii="Titillium Web" w:cs="Titillium Web" w:eastAsia="Titillium Web" w:hAnsi="Titillium Web"/>
          <w:b w:val="1"/>
          <w:color w:val="292b3b"/>
          <w:sz w:val="32"/>
          <w:szCs w:val="32"/>
        </w:rPr>
      </w:pPr>
      <w:bookmarkStart w:colFirst="0" w:colLast="0" w:name="_heading=h.k25jlkfoymw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036"/>
        </w:tabs>
        <w:spacing w:after="200" w:before="200" w:lineRule="auto"/>
        <w:jc w:val="center"/>
        <w:rPr>
          <w:rFonts w:ascii="Titillium Web" w:cs="Titillium Web" w:eastAsia="Titillium Web" w:hAnsi="Titillium Web"/>
          <w:b w:val="1"/>
          <w:color w:val="292b3b"/>
          <w:sz w:val="32"/>
          <w:szCs w:val="32"/>
        </w:rPr>
      </w:pPr>
      <w:bookmarkStart w:colFirst="0" w:colLast="0" w:name="_heading=h.itd55jeczib3" w:id="3"/>
      <w:bookmarkEnd w:id="3"/>
      <w:r w:rsidDel="00000000" w:rsidR="00000000" w:rsidRPr="00000000">
        <w:rPr>
          <w:rFonts w:ascii="Titillium Web" w:cs="Titillium Web" w:eastAsia="Titillium Web" w:hAnsi="Titillium Web"/>
          <w:b w:val="1"/>
          <w:color w:val="292b3b"/>
          <w:sz w:val="32"/>
          <w:szCs w:val="32"/>
          <w:rtl w:val="0"/>
        </w:rPr>
        <w:br w:type="textWrapping"/>
      </w:r>
    </w:p>
    <w:p w:rsidR="00000000" w:rsidDel="00000000" w:rsidP="00000000" w:rsidRDefault="00000000" w:rsidRPr="00000000" w14:paraId="00000005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036"/>
        </w:tabs>
        <w:spacing w:after="200" w:before="200" w:lineRule="auto"/>
        <w:jc w:val="center"/>
        <w:rPr>
          <w:rFonts w:ascii="Titillium Web" w:cs="Titillium Web" w:eastAsia="Titillium Web" w:hAnsi="Titillium Web"/>
          <w:b w:val="1"/>
          <w:color w:val="292b3b"/>
          <w:sz w:val="70"/>
          <w:szCs w:val="70"/>
        </w:rPr>
      </w:pPr>
      <w:bookmarkStart w:colFirst="0" w:colLast="0" w:name="_heading=h.adk2v4st11la" w:id="4"/>
      <w:bookmarkEnd w:id="4"/>
      <w:r w:rsidDel="00000000" w:rsidR="00000000" w:rsidRPr="00000000">
        <w:rPr>
          <w:rFonts w:ascii="Titillium Web" w:cs="Titillium Web" w:eastAsia="Titillium Web" w:hAnsi="Titillium Web"/>
          <w:b w:val="1"/>
          <w:color w:val="292b3b"/>
          <w:sz w:val="70"/>
          <w:szCs w:val="70"/>
          <w:rtl w:val="0"/>
        </w:rPr>
        <w:t xml:space="preserve">Linee guida editoriali</w:t>
      </w:r>
    </w:p>
    <w:p w:rsidR="00000000" w:rsidDel="00000000" w:rsidP="00000000" w:rsidRDefault="00000000" w:rsidRPr="00000000" w14:paraId="00000006">
      <w:pPr>
        <w:tabs>
          <w:tab w:val="left" w:pos="3036"/>
        </w:tabs>
        <w:rPr>
          <w:rFonts w:ascii="Libre Franklin" w:cs="Libre Franklin" w:eastAsia="Libre Franklin" w:hAnsi="Libre Franklin"/>
          <w:color w:val="292b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16" w:lineRule="auto"/>
        <w:rPr>
          <w:rFonts w:ascii="Libre Franklin" w:cs="Libre Franklin" w:eastAsia="Libre Franklin" w:hAnsi="Libre Franklin"/>
          <w:color w:val="292b3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16" w:lineRule="auto"/>
        <w:rPr>
          <w:rFonts w:ascii="Libre Franklin" w:cs="Libre Franklin" w:eastAsia="Libre Franklin" w:hAnsi="Libre Franklin"/>
          <w:color w:val="292b3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16" w:lineRule="auto"/>
        <w:rPr>
          <w:rFonts w:ascii="Libre Franklin" w:cs="Libre Franklin" w:eastAsia="Libre Franklin" w:hAnsi="Libre Franklin"/>
          <w:b w:val="1"/>
          <w:color w:val="fe2070"/>
          <w:sz w:val="26"/>
          <w:szCs w:val="26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fe2070"/>
          <w:sz w:val="26"/>
          <w:szCs w:val="26"/>
          <w:rtl w:val="0"/>
        </w:rPr>
        <w:t xml:space="preserve">AREE RURALI </w:t>
      </w:r>
    </w:p>
    <w:p w:rsidR="00000000" w:rsidDel="00000000" w:rsidP="00000000" w:rsidRDefault="00000000" w:rsidRPr="00000000" w14:paraId="0000000A">
      <w:pPr>
        <w:widowControl w:val="0"/>
        <w:spacing w:after="0" w:line="216" w:lineRule="auto"/>
        <w:rPr>
          <w:rFonts w:ascii="Libre Franklin" w:cs="Libre Franklin" w:eastAsia="Libre Franklin" w:hAnsi="Libre Franklin"/>
          <w:b w:val="1"/>
          <w:color w:val="fe207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Per indicare le aree scarsamente popolate, si consiglia di utilizzare: 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Aree Bianche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Aree Infratel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piccoli Comuni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Borghi</w:t>
      </w:r>
    </w:p>
    <w:p w:rsidR="00000000" w:rsidDel="00000000" w:rsidP="00000000" w:rsidRDefault="00000000" w:rsidRPr="00000000" w14:paraId="00000011">
      <w:pPr>
        <w:tabs>
          <w:tab w:val="left" w:pos="3036"/>
        </w:tabs>
        <w:rPr>
          <w:rFonts w:ascii="Libre Franklin" w:cs="Libre Franklin" w:eastAsia="Libre Franklin" w:hAnsi="Libre Franklin"/>
          <w:color w:val="292b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3036"/>
        </w:tabs>
        <w:rPr>
          <w:rFonts w:ascii="Libre Franklin" w:cs="Libre Franklin" w:eastAsia="Libre Franklin" w:hAnsi="Libre Franklin"/>
          <w:color w:val="292b3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16" w:lineRule="auto"/>
        <w:rPr>
          <w:rFonts w:ascii="Libre Franklin" w:cs="Libre Franklin" w:eastAsia="Libre Franklin" w:hAnsi="Libre Franklin"/>
          <w:b w:val="1"/>
          <w:color w:val="fe2070"/>
          <w:sz w:val="26"/>
          <w:szCs w:val="26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fe2070"/>
          <w:sz w:val="26"/>
          <w:szCs w:val="26"/>
          <w:rtl w:val="0"/>
        </w:rPr>
        <w:t xml:space="preserve">CIVICI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036"/>
        </w:tabs>
        <w:spacing w:after="0" w:line="240" w:lineRule="auto"/>
        <w:rPr>
          <w:rFonts w:ascii="Libre Franklin" w:cs="Libre Franklin" w:eastAsia="Libre Franklin" w:hAnsi="Libre Franklin"/>
          <w:color w:val="292b3b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Per una comunicazione più puntuale, agli utenti finali comunichiamo se la nostra rete a banda ultra larga è disponibile per i singoli civici, non per la zona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036"/>
        </w:tabs>
        <w:rPr>
          <w:rFonts w:ascii="Libre Franklin" w:cs="Libre Franklin" w:eastAsia="Libre Franklin" w:hAnsi="Libre Franklin"/>
          <w:b w:val="1"/>
          <w:color w:val="fe207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036"/>
        </w:tabs>
        <w:rPr>
          <w:rFonts w:ascii="Libre Franklin" w:cs="Libre Franklin" w:eastAsia="Libre Franklin" w:hAnsi="Libre Franklin"/>
          <w:color w:val="292b3b"/>
          <w:sz w:val="26"/>
          <w:szCs w:val="26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fe2070"/>
          <w:sz w:val="26"/>
          <w:szCs w:val="26"/>
          <w:rtl w:val="0"/>
        </w:rPr>
        <w:t xml:space="preserve">FIBRA OTTICA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3036"/>
        </w:tabs>
        <w:rPr>
          <w:rFonts w:ascii="Libre Franklin" w:cs="Libre Franklin" w:eastAsia="Libre Franklin" w:hAnsi="Libre Franklin"/>
          <w:strike w:val="1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In generale, il termine </w:t>
      </w:r>
      <w:r w:rsidDel="00000000" w:rsidR="00000000" w:rsidRPr="00000000">
        <w:rPr>
          <w:rFonts w:ascii="Libre Franklin" w:cs="Libre Franklin" w:eastAsia="Libre Franklin" w:hAnsi="Libre Franklin"/>
          <w:b w:val="1"/>
          <w:i w:val="1"/>
          <w:color w:val="292b3b"/>
          <w:sz w:val="24"/>
          <w:szCs w:val="24"/>
          <w:rtl w:val="0"/>
        </w:rPr>
        <w:t xml:space="preserve">fibra</w:t>
      </w: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 si usa preferibilmente accompagnato dalla parola “</w:t>
      </w:r>
      <w:r w:rsidDel="00000000" w:rsidR="00000000" w:rsidRPr="00000000">
        <w:rPr>
          <w:rFonts w:ascii="Libre Franklin" w:cs="Libre Franklin" w:eastAsia="Libre Franklin" w:hAnsi="Libre Franklin"/>
          <w:b w:val="1"/>
          <w:i w:val="1"/>
          <w:color w:val="292b3b"/>
          <w:sz w:val="24"/>
          <w:szCs w:val="24"/>
          <w:rtl w:val="0"/>
        </w:rPr>
        <w:t xml:space="preserve">ottica”</w:t>
      </w:r>
      <w:r w:rsidDel="00000000" w:rsidR="00000000" w:rsidRPr="00000000">
        <w:rPr>
          <w:rFonts w:ascii="Libre Franklin" w:cs="Libre Franklin" w:eastAsia="Libre Franklin" w:hAnsi="Libre Franklin"/>
          <w:i w:val="1"/>
          <w:color w:val="292b3b"/>
          <w:sz w:val="24"/>
          <w:szCs w:val="24"/>
          <w:rtl w:val="0"/>
        </w:rPr>
        <w:t xml:space="preserve"> o nelle seguenti declinazioni: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tabs>
          <w:tab w:val="left" w:pos="3036"/>
        </w:tabs>
        <w:spacing w:after="0" w:lineRule="auto"/>
        <w:ind w:left="720" w:hanging="360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fibra ottica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tabs>
          <w:tab w:val="left" w:pos="3036"/>
        </w:tabs>
        <w:spacing w:after="0" w:lineRule="auto"/>
        <w:ind w:left="720" w:hanging="360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FTTH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tabs>
          <w:tab w:val="left" w:pos="3036"/>
        </w:tabs>
        <w:spacing w:after="0" w:lineRule="auto"/>
        <w:ind w:left="720" w:hanging="360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fibra ottica FTTH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tabs>
          <w:tab w:val="left" w:pos="3036"/>
        </w:tabs>
        <w:spacing w:after="0" w:lineRule="auto"/>
        <w:ind w:left="720" w:hanging="360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interamente in fibra ottica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tabs>
          <w:tab w:val="left" w:pos="3036"/>
        </w:tabs>
        <w:spacing w:after="0" w:lineRule="auto"/>
        <w:ind w:left="720" w:hanging="360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fibra FTTH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tabs>
          <w:tab w:val="left" w:pos="3036"/>
        </w:tabs>
        <w:ind w:left="720" w:hanging="360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interamente in fibra </w:t>
      </w:r>
    </w:p>
    <w:p w:rsidR="00000000" w:rsidDel="00000000" w:rsidP="00000000" w:rsidRDefault="00000000" w:rsidRPr="00000000" w14:paraId="0000001F">
      <w:pPr>
        <w:tabs>
          <w:tab w:val="left" w:pos="3036"/>
        </w:tabs>
        <w:rPr>
          <w:rFonts w:ascii="Libre Franklin" w:cs="Libre Franklin" w:eastAsia="Libre Franklin" w:hAnsi="Libre Franklin"/>
          <w:color w:val="292b3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after="200" w:before="200" w:line="240" w:lineRule="auto"/>
        <w:ind w:left="720" w:hanging="360"/>
        <w:rPr>
          <w:rFonts w:ascii="Libre Franklin" w:cs="Libre Franklin" w:eastAsia="Libre Franklin" w:hAnsi="Libre Franklin"/>
          <w:sz w:val="26"/>
          <w:szCs w:val="26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fe2070"/>
          <w:sz w:val="26"/>
          <w:szCs w:val="26"/>
          <w:rtl w:val="0"/>
        </w:rPr>
        <w:t xml:space="preserve">Quando si parla di Cluster A&amp;B: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Infrastruttura/Rete/connessione interamente in fibra ottica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Infrastruttura/Rete/connessione FTTH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Infrastruttura/Rete/connessione in fibra ottica FTTH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Infrastruttura/Rete/connessione con cavo in fibra ottica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Copertura in fibra ottica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Connessione internet in fibra ottica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Infrastruttura/Rete/connessione in fibra ottica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Libre Franklin" w:cs="Libre Franklin" w:eastAsia="Libre Franklin" w:hAnsi="Libre Franklin"/>
          <w:color w:val="292b3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Libre Franklin" w:cs="Libre Franklin" w:eastAsia="Libre Franklin" w:hAnsi="Libre Franklin"/>
          <w:color w:val="292b3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720" w:hanging="360"/>
        <w:rPr>
          <w:rFonts w:ascii="Libre Franklin" w:cs="Libre Franklin" w:eastAsia="Libre Franklin" w:hAnsi="Libre Franklin"/>
          <w:sz w:val="26"/>
          <w:szCs w:val="26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fe2070"/>
          <w:sz w:val="26"/>
          <w:szCs w:val="26"/>
          <w:rtl w:val="0"/>
        </w:rPr>
        <w:t xml:space="preserve">Quando si parla di Cluster C&amp;D: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Rete ultraveloce/ultrabroadband/a banda ultra larga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Infrastruttura ultraveloce/ultrabroadband/a banda ultra larga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Connessione ultraveloce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Internet ultraveloce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Connessione internet ultraveloce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Connessione a banda ultra larga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Libre Franklin" w:cs="Libre Franklin" w:eastAsia="Libre Franklin" w:hAnsi="Libre Franklin"/>
          <w:color w:val="292b3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Libre Franklin" w:cs="Libre Franklin" w:eastAsia="Libre Franklin" w:hAnsi="Libre Franklin"/>
          <w:color w:val="292b3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spacing w:after="0" w:line="240" w:lineRule="auto"/>
        <w:ind w:left="720" w:hanging="360"/>
        <w:rPr>
          <w:rFonts w:ascii="Libre Franklin" w:cs="Libre Franklin" w:eastAsia="Libre Franklin" w:hAnsi="Libre Franklin"/>
          <w:color w:val="fe2070"/>
          <w:sz w:val="26"/>
          <w:szCs w:val="26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fe2070"/>
          <w:sz w:val="26"/>
          <w:szCs w:val="26"/>
          <w:rtl w:val="0"/>
        </w:rPr>
        <w:t xml:space="preserve">Quando si parla di Comuni appartenenti sia ai cluster A&amp;B che C&amp;D o del progetto Open Fiber in generale: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720" w:firstLine="0"/>
        <w:rPr>
          <w:rFonts w:ascii="Libre Franklin" w:cs="Libre Franklin" w:eastAsia="Libre Franklin" w:hAnsi="Libre Franklin"/>
          <w:color w:val="292b3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Rete ultraveloce/ultrabroadband/a banda ultra larga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Infrastruttura ultraveloce/ultrabroadband/a banda ultra larga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Connessione ultraveloce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Internet ultraveloce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Connessione internet ultraveloce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Connessione a banda ultra larga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Libre Franklin" w:cs="Libre Franklin" w:eastAsia="Libre Franklin" w:hAnsi="Libre Franklin"/>
          <w:b w:val="1"/>
          <w:color w:val="292b3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Libre Franklin" w:cs="Libre Franklin" w:eastAsia="Libre Franklin" w:hAnsi="Libre Franklin"/>
          <w:color w:val="292b3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16" w:lineRule="auto"/>
        <w:rPr>
          <w:rFonts w:ascii="Libre Franklin" w:cs="Libre Franklin" w:eastAsia="Libre Franklin" w:hAnsi="Libre Franklin"/>
          <w:b w:val="1"/>
          <w:color w:val="fe2070"/>
          <w:sz w:val="26"/>
          <w:szCs w:val="26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fe2070"/>
          <w:sz w:val="26"/>
          <w:szCs w:val="26"/>
          <w:rtl w:val="0"/>
        </w:rPr>
        <w:t xml:space="preserve">1 GIGABIT AL SECONDO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16" w:lineRule="auto"/>
        <w:rPr>
          <w:rFonts w:ascii="Libre Franklin" w:cs="Libre Franklin" w:eastAsia="Libre Franklin" w:hAnsi="Libre Franklin"/>
          <w:color w:val="292b3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16" w:lineRule="auto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Usare: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16" w:lineRule="auto"/>
        <w:ind w:left="720" w:hanging="360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1 Gigabit al secondo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16" w:lineRule="auto"/>
        <w:ind w:left="720" w:hanging="360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1 Gbit/s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16" w:lineRule="auto"/>
        <w:ind w:left="720" w:hanging="360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Gbps</w:t>
      </w:r>
    </w:p>
    <w:p w:rsidR="00000000" w:rsidDel="00000000" w:rsidP="00000000" w:rsidRDefault="00000000" w:rsidRPr="00000000" w14:paraId="00000043">
      <w:pPr>
        <w:widowControl w:val="0"/>
        <w:spacing w:after="0" w:line="216" w:lineRule="auto"/>
        <w:rPr>
          <w:rFonts w:ascii="Libre Franklin" w:cs="Libre Franklin" w:eastAsia="Libre Franklin" w:hAnsi="Libre Franklin"/>
          <w:b w:val="1"/>
          <w:color w:val="fe207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Libre Franklin" w:cs="Libre Franklin" w:eastAsia="Libre Franklin" w:hAnsi="Libre Franklin"/>
          <w:color w:val="292b3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216" w:lineRule="auto"/>
        <w:rPr>
          <w:rFonts w:ascii="Libre Franklin" w:cs="Libre Franklin" w:eastAsia="Libre Franklin" w:hAnsi="Libre Franklin"/>
          <w:color w:val="292b3b"/>
          <w:sz w:val="26"/>
          <w:szCs w:val="26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fe2070"/>
          <w:sz w:val="26"/>
          <w:szCs w:val="26"/>
          <w:rtl w:val="0"/>
        </w:rPr>
        <w:t xml:space="preserve">OPERATORE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="216" w:lineRule="auto"/>
        <w:rPr>
          <w:rFonts w:ascii="Libre Franklin" w:cs="Libre Franklin" w:eastAsia="Libre Franklin" w:hAnsi="Libre Franklin"/>
          <w:color w:val="292b3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line="216" w:lineRule="auto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Quando parliamo di Operatori di telecomunicazioni o Operatori Partner di Open Fiber, scriveremo Operatore/i e Partner con le iniziali in maiuscolo.</w:t>
      </w:r>
    </w:p>
    <w:p w:rsidR="00000000" w:rsidDel="00000000" w:rsidP="00000000" w:rsidRDefault="00000000" w:rsidRPr="00000000" w14:paraId="00000048">
      <w:pPr>
        <w:widowControl w:val="0"/>
        <w:spacing w:after="0" w:line="216" w:lineRule="auto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line="216" w:lineRule="auto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N.B. Quando si parla di Operatori </w:t>
      </w:r>
      <w:r w:rsidDel="00000000" w:rsidR="00000000" w:rsidRPr="00000000">
        <w:rPr>
          <w:rFonts w:ascii="Libre Franklin" w:cs="Libre Franklin" w:eastAsia="Libre Franklin" w:hAnsi="Libre Franklin"/>
          <w:b w:val="1"/>
          <w:color w:val="292b3b"/>
          <w:sz w:val="24"/>
          <w:szCs w:val="24"/>
          <w:u w:val="single"/>
          <w:rtl w:val="0"/>
        </w:rPr>
        <w:t xml:space="preserve">non </w:t>
      </w: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è necessario </w:t>
      </w:r>
      <w:r w:rsidDel="00000000" w:rsidR="00000000" w:rsidRPr="00000000">
        <w:rPr>
          <w:rFonts w:ascii="Libre Franklin" w:cs="Libre Franklin" w:eastAsia="Libre Franklin" w:hAnsi="Libre Franklin"/>
          <w:b w:val="1"/>
          <w:color w:val="292b3b"/>
          <w:sz w:val="24"/>
          <w:szCs w:val="24"/>
          <w:u w:val="single"/>
          <w:rtl w:val="0"/>
        </w:rPr>
        <w:t xml:space="preserve">specificare </w:t>
      </w:r>
      <w:r w:rsidDel="00000000" w:rsidR="00000000" w:rsidRPr="00000000">
        <w:rPr>
          <w:rFonts w:ascii="Libre Franklin" w:cs="Libre Franklin" w:eastAsia="Libre Franklin" w:hAnsi="Libre Franklin"/>
          <w:i w:val="1"/>
          <w:color w:val="292b3b"/>
          <w:sz w:val="24"/>
          <w:szCs w:val="24"/>
          <w:rtl w:val="0"/>
        </w:rPr>
        <w:t xml:space="preserve">di telecomunicazioni </w:t>
      </w: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dal momento che, vendendo servizi anche alle multiutilities, la parola Operatori, essendo generica, racchiude anche questa categoria.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Libre Franklin" w:cs="Libre Franklin" w:eastAsia="Libre Franklin" w:hAnsi="Libre Franklin"/>
          <w:color w:val="292b3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Libre Franklin" w:cs="Libre Franklin" w:eastAsia="Libre Franklin" w:hAnsi="Libre Franklin"/>
          <w:color w:val="292b3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line="240" w:lineRule="auto"/>
        <w:rPr>
          <w:rFonts w:ascii="Libre Franklin" w:cs="Libre Franklin" w:eastAsia="Libre Franklin" w:hAnsi="Libre Franklin"/>
          <w:color w:val="292b3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0" w:line="240" w:lineRule="auto"/>
        <w:rPr>
          <w:rFonts w:ascii="Libre Franklin" w:cs="Libre Franklin" w:eastAsia="Libre Franklin" w:hAnsi="Libre Franklin"/>
          <w:b w:val="1"/>
          <w:color w:val="fe2070"/>
          <w:sz w:val="26"/>
          <w:szCs w:val="26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fe2070"/>
          <w:sz w:val="26"/>
          <w:szCs w:val="26"/>
          <w:rtl w:val="0"/>
        </w:rPr>
        <w:t xml:space="preserve">SCUOLE</w:t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Libre Franklin" w:cs="Libre Franklin" w:eastAsia="Libre Franklin" w:hAnsi="Libre Franklin"/>
          <w:b w:val="1"/>
          <w:color w:val="fe207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rFonts w:ascii="Libre Franklin" w:cs="Libre Franklin" w:eastAsia="Libre Franklin" w:hAnsi="Libre Franklin"/>
          <w:color w:val="292b3b"/>
          <w:sz w:val="26"/>
          <w:szCs w:val="26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Diciamo “scuole cablate” quando parliamo del piano di copertura di Open Fiber (Ex: Open Fiber ha cablato oltre 14.100 scuole).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Libre Franklin" w:cs="Libre Franklin" w:eastAsia="Libre Franklin" w:hAnsi="Libre Franklin"/>
          <w:color w:val="292b3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Libre Franklin" w:cs="Libre Franklin" w:eastAsia="Libre Franklin" w:hAnsi="Libre Franklin"/>
          <w:color w:val="292b3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16" w:lineRule="auto"/>
        <w:rPr>
          <w:rFonts w:ascii="Libre Franklin" w:cs="Libre Franklin" w:eastAsia="Libre Franklin" w:hAnsi="Libre Franklin"/>
          <w:b w:val="1"/>
          <w:color w:val="fe2070"/>
          <w:sz w:val="26"/>
          <w:szCs w:val="26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fe2070"/>
          <w:sz w:val="26"/>
          <w:szCs w:val="26"/>
          <w:rtl w:val="0"/>
        </w:rPr>
        <w:t xml:space="preserve">UNITÀ ABITATIVE</w:t>
      </w:r>
    </w:p>
    <w:p w:rsidR="00000000" w:rsidDel="00000000" w:rsidP="00000000" w:rsidRDefault="00000000" w:rsidRPr="00000000" w14:paraId="00000053">
      <w:pPr>
        <w:widowControl w:val="0"/>
        <w:spacing w:after="0" w:line="216" w:lineRule="auto"/>
        <w:rPr>
          <w:rFonts w:ascii="Libre Franklin" w:cs="Libre Franklin" w:eastAsia="Libre Franklin" w:hAnsi="Libre Franklin"/>
          <w:b w:val="1"/>
          <w:color w:val="fe207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Non usare solo il termine case ma: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unità immobiliari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U.I.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case, attività commerciali e uffici, aziende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edifici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cablate/cablare le unità immobiliari (solo in caso di Cluster A&amp;B, dove cioé Open Fiber interviene con investimenti privati)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3"/>
        </w:numPr>
        <w:spacing w:after="0" w:line="216" w:lineRule="auto"/>
        <w:ind w:left="720" w:hanging="360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coperte/connesse/coprire/connettere le unità immobiliari (solo in caso di piano complessivo Open Fiber, o nei comuni C&amp;D, rientranti, cioè, nell’ambito dei Bandi Infratel, dove vi è un mix di FWA e FTTH)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0" w:line="216" w:lineRule="auto"/>
        <w:rPr>
          <w:rFonts w:ascii="Libre Franklin" w:cs="Libre Franklin" w:eastAsia="Libre Franklin" w:hAnsi="Libre Franklin"/>
          <w:b w:val="1"/>
          <w:color w:val="fe207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line="216" w:lineRule="auto"/>
        <w:rPr>
          <w:rFonts w:ascii="Libre Franklin" w:cs="Libre Franklin" w:eastAsia="Libre Franklin" w:hAnsi="Libre Franklin"/>
          <w:b w:val="1"/>
          <w:color w:val="fe207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0" w:line="216" w:lineRule="auto"/>
        <w:rPr>
          <w:rFonts w:ascii="Libre Franklin" w:cs="Libre Franklin" w:eastAsia="Libre Franklin" w:hAnsi="Libre Franklin"/>
          <w:b w:val="1"/>
          <w:color w:val="fe2070"/>
          <w:sz w:val="26"/>
          <w:szCs w:val="26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fe2070"/>
          <w:sz w:val="26"/>
          <w:szCs w:val="26"/>
          <w:rtl w:val="0"/>
        </w:rPr>
        <w:t xml:space="preserve">UTENTI FINALI</w:t>
      </w:r>
    </w:p>
    <w:p w:rsidR="00000000" w:rsidDel="00000000" w:rsidP="00000000" w:rsidRDefault="00000000" w:rsidRPr="00000000" w14:paraId="0000005F">
      <w:pPr>
        <w:widowControl w:val="0"/>
        <w:spacing w:after="0" w:line="216" w:lineRule="auto"/>
        <w:rPr>
          <w:rFonts w:ascii="Libre Franklin" w:cs="Libre Franklin" w:eastAsia="Libre Franklin" w:hAnsi="Libre Franklin"/>
          <w:sz w:val="24"/>
          <w:szCs w:val="24"/>
        </w:rPr>
      </w:pPr>
      <w:bookmarkStart w:colFirst="0" w:colLast="0" w:name="_heading=h.30j0zll" w:id="5"/>
      <w:bookmarkEnd w:id="5"/>
      <w:r w:rsidDel="00000000" w:rsidR="00000000" w:rsidRPr="00000000">
        <w:rPr>
          <w:rFonts w:ascii="Libre Franklin" w:cs="Libre Franklin" w:eastAsia="Libre Franklin" w:hAnsi="Libre Franklin"/>
          <w:b w:val="1"/>
          <w:color w:val="fe207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Utilizzare sempre utenti finali (anziché clienti finali) per indicare i consumatori finali.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60">
      <w:pPr>
        <w:widowControl w:val="0"/>
        <w:spacing w:after="0" w:line="216" w:lineRule="auto"/>
        <w:rPr>
          <w:rFonts w:ascii="Libre Franklin" w:cs="Libre Franklin" w:eastAsia="Libre Franklin" w:hAnsi="Libre Franklin"/>
          <w:b w:val="1"/>
          <w:color w:val="fe207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0" w:line="216" w:lineRule="auto"/>
        <w:rPr>
          <w:rFonts w:ascii="Libre Franklin" w:cs="Libre Franklin" w:eastAsia="Libre Franklin" w:hAnsi="Libre Franklin"/>
          <w:b w:val="1"/>
          <w:color w:val="fe2070"/>
          <w:sz w:val="26"/>
          <w:szCs w:val="26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fe2070"/>
          <w:sz w:val="26"/>
          <w:szCs w:val="26"/>
          <w:rtl w:val="0"/>
        </w:rPr>
        <w:t xml:space="preserve">VELOCITÀ FIBRA OTTICA 10GBPS</w:t>
      </w:r>
    </w:p>
    <w:p w:rsidR="00000000" w:rsidDel="00000000" w:rsidP="00000000" w:rsidRDefault="00000000" w:rsidRPr="00000000" w14:paraId="00000062">
      <w:pPr>
        <w:widowControl w:val="0"/>
        <w:spacing w:after="0" w:line="216" w:lineRule="auto"/>
        <w:rPr>
          <w:rFonts w:ascii="Libre Franklin" w:cs="Libre Franklin" w:eastAsia="Libre Franklin" w:hAnsi="Libre Franklin"/>
          <w:b w:val="1"/>
          <w:color w:val="fe207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spacing w:after="0" w:line="240" w:lineRule="auto"/>
        <w:ind w:left="720" w:hanging="360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parlando di A&amp;B (dove, cioé, Open Fiber interviene con investimenti privati) possiamo parlare di </w:t>
      </w:r>
      <w:r w:rsidDel="00000000" w:rsidR="00000000" w:rsidRPr="00000000">
        <w:rPr>
          <w:rFonts w:ascii="Libre Franklin" w:cs="Libre Franklin" w:eastAsia="Libre Franklin" w:hAnsi="Libre Franklin"/>
          <w:i w:val="1"/>
          <w:color w:val="292b3b"/>
          <w:sz w:val="24"/>
          <w:szCs w:val="24"/>
          <w:rtl w:val="0"/>
        </w:rPr>
        <w:t xml:space="preserve">velocità che arriva fino a 10Gbps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spacing w:after="0" w:line="240" w:lineRule="auto"/>
        <w:ind w:left="720" w:hanging="360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parlando di Comuni C&amp;D (rientranti, cioè, nell’ambito dei Bandi Infratel) possiamo parlare di </w:t>
      </w:r>
      <w:r w:rsidDel="00000000" w:rsidR="00000000" w:rsidRPr="00000000">
        <w:rPr>
          <w:rFonts w:ascii="Libre Franklin" w:cs="Libre Franklin" w:eastAsia="Libre Franklin" w:hAnsi="Libre Franklin"/>
          <w:i w:val="1"/>
          <w:color w:val="292b3b"/>
          <w:sz w:val="24"/>
          <w:szCs w:val="24"/>
          <w:rtl w:val="0"/>
        </w:rPr>
        <w:t xml:space="preserve">velocità che arriva fino a 1Gbps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after="0" w:line="216" w:lineRule="auto"/>
        <w:rPr>
          <w:rFonts w:ascii="Libre Franklin" w:cs="Libre Franklin" w:eastAsia="Libre Franklin" w:hAnsi="Libre Franklin"/>
          <w:color w:val="292b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0" w:line="216" w:lineRule="auto"/>
        <w:rPr>
          <w:rFonts w:ascii="Libre Franklin" w:cs="Libre Franklin" w:eastAsia="Libre Franklin" w:hAnsi="Libre Franklin"/>
        </w:rPr>
      </w:pPr>
      <w:bookmarkStart w:colFirst="0" w:colLast="0" w:name="_heading=h.ee499a3ddb0c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0" w:line="216" w:lineRule="auto"/>
        <w:rPr>
          <w:rFonts w:ascii="Libre Franklin" w:cs="Libre Franklin" w:eastAsia="Libre Franklin" w:hAnsi="Libre Franklin"/>
          <w:b w:val="1"/>
          <w:color w:val="fe2070"/>
          <w:sz w:val="26"/>
          <w:szCs w:val="26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fe2070"/>
          <w:sz w:val="26"/>
          <w:szCs w:val="26"/>
          <w:rtl w:val="0"/>
        </w:rPr>
        <w:t xml:space="preserve">WHOLESALE</w:t>
        <w:br w:type="textWrapping"/>
        <w:br w:type="textWrapping"/>
      </w: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Usare sempre il termine wholesale, accompagnato da only.</w:t>
        <w:br w:type="textWrapping"/>
      </w:r>
      <w:r w:rsidDel="00000000" w:rsidR="00000000" w:rsidRPr="00000000">
        <w:rPr>
          <w:rFonts w:ascii="Libre Franklin" w:cs="Libre Franklin" w:eastAsia="Libre Franklin" w:hAnsi="Libre Franklin"/>
          <w:i w:val="1"/>
          <w:color w:val="292b3b"/>
          <w:sz w:val="24"/>
          <w:szCs w:val="24"/>
          <w:rtl w:val="0"/>
        </w:rPr>
        <w:br w:type="textWrapping"/>
        <w:t xml:space="preserve">Ex. Open Fiber è un Operatore wholesale only**</w:t>
      </w:r>
      <w:r w:rsidDel="00000000" w:rsidR="00000000" w:rsidRPr="00000000">
        <w:rPr>
          <w:rFonts w:ascii="Libre Franklin" w:cs="Libre Franklin" w:eastAsia="Libre Franklin" w:hAnsi="Libre Franklin"/>
          <w:color w:val="292b3b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7" w:left="1134" w:right="113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tillium Web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-120480</wp:posOffset>
          </wp:positionH>
          <wp:positionV relativeFrom="page">
            <wp:posOffset>657000</wp:posOffset>
          </wp:positionV>
          <wp:extent cx="7730963" cy="2038575"/>
          <wp:effectExtent b="0" l="0" r="0" t="0"/>
          <wp:wrapNone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6724" l="-1528" r="-610" t="10398"/>
                  <a:stretch>
                    <a:fillRect/>
                  </a:stretch>
                </pic:blipFill>
                <pic:spPr>
                  <a:xfrm>
                    <a:off x="0" y="0"/>
                    <a:ext cx="7730963" cy="2038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2703675</wp:posOffset>
          </wp:positionH>
          <wp:positionV relativeFrom="page">
            <wp:posOffset>123600</wp:posOffset>
          </wp:positionV>
          <wp:extent cx="2151698" cy="531495"/>
          <wp:effectExtent b="0" l="0" r="0" t="0"/>
          <wp:wrapTopAndBottom distB="114300" distT="114300"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1698" cy="5314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rFonts w:ascii="Arial" w:cs="Arial" w:eastAsia="Arial" w:hAnsi="Arial"/>
        <w:b w:val="1"/>
        <w:color w:val="fe207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Enfasicorsivo">
    <w:name w:val="Emphasis"/>
    <w:basedOn w:val="Carpredefinitoparagrafo"/>
    <w:uiPriority w:val="20"/>
    <w:qFormat w:val="1"/>
    <w:rsid w:val="00BD5FBE"/>
    <w:rPr>
      <w:i w:val="1"/>
      <w:iCs w:val="1"/>
    </w:rPr>
  </w:style>
  <w:style w:type="paragraph" w:styleId="NormaleWeb">
    <w:name w:val="Normal (Web)"/>
    <w:basedOn w:val="Normale"/>
    <w:uiPriority w:val="99"/>
    <w:semiHidden w:val="1"/>
    <w:unhideWhenUsed w:val="1"/>
    <w:rsid w:val="00680B1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0476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0476DE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0476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0476D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0476DE"/>
    <w:rPr>
      <w:b w:val="1"/>
      <w:bCs w:val="1"/>
      <w:sz w:val="20"/>
      <w:szCs w:val="20"/>
    </w:rPr>
  </w:style>
  <w:style w:type="paragraph" w:styleId="Paragrafoelenco">
    <w:name w:val="List Paragraph"/>
    <w:basedOn w:val="Normale"/>
    <w:uiPriority w:val="34"/>
    <w:qFormat w:val="1"/>
    <w:rsid w:val="000476DE"/>
    <w:pPr>
      <w:ind w:left="720"/>
      <w:contextualSpacing w:val="1"/>
    </w:p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2513D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2513D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TitilliumWeb-regular.ttf"/><Relationship Id="rId6" Type="http://schemas.openxmlformats.org/officeDocument/2006/relationships/font" Target="fonts/TitilliumWeb-bold.ttf"/><Relationship Id="rId7" Type="http://schemas.openxmlformats.org/officeDocument/2006/relationships/font" Target="fonts/TitilliumWeb-italic.ttf"/><Relationship Id="rId8" Type="http://schemas.openxmlformats.org/officeDocument/2006/relationships/font" Target="fonts/TitilliumWeb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/TWjR1oo3ac/o4tfvuKp37QOLw==">AMUW2mU1mHP4nfjAZajLL6/v04o9g3Qo/EuyK9sQOyHQ+ZJ0GEnNC9aVzzHZSbYtozs4KtZmAxtbZajWhg8/VxICl71c392aG9m+MjsRAlgeqdPoeCrCTryf8W4ac6vLtWuAvCRzL83DHEKN655gKlbGkxDixhWdngH442mwH3LkW9vxNT7T9vgdyc5pCAxRVZWfmTor6pK9Jyq1TdAeRudfI8+rUwpeKJL3QIbACLKysQJZ9nr3POv4GKxs2EU2Fm3koy6+tgpOiHj711oKjnw6eUVx6pz34+j2+44iZEPyPNb/6I8BTSWa+M3JpQK1AruJ1xdSb8qPfcUMmDZFFFEjljq2ITE3bgmT+wKszix60DmGgIpYwVVOmDmiZ9h+EshQ6fhQfHuw0eeodPIAcxx4q/COmpxlRSECCvgoFhCSgfy/q4q6z6Ib9YTFRwyRXvorc5ao8d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2021-09-15T12:56:00Z</dcterms:created>
  <dc:creator>ilariafiore.chinellato@justbit.it</dc:creator>
</cp:coreProperties>
</file>